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4665" w:type="dxa"/>
        <w:tblLook w:val="04A0" w:firstRow="1" w:lastRow="0" w:firstColumn="1" w:lastColumn="0" w:noHBand="0" w:noVBand="1"/>
      </w:tblPr>
      <w:tblGrid>
        <w:gridCol w:w="3780"/>
        <w:gridCol w:w="10885"/>
      </w:tblGrid>
      <w:tr w:rsidR="00091D7C" w:rsidRPr="001300BF" w:rsidTr="002F519E">
        <w:trPr>
          <w:trHeight w:val="1080"/>
        </w:trPr>
        <w:tc>
          <w:tcPr>
            <w:tcW w:w="14665" w:type="dxa"/>
            <w:gridSpan w:val="2"/>
          </w:tcPr>
          <w:p w:rsidR="00091D7C" w:rsidRPr="00310DE2" w:rsidRDefault="00091D7C" w:rsidP="00310DE2">
            <w:pPr>
              <w:ind w:left="610" w:hanging="460"/>
              <w:jc w:val="center"/>
              <w:rPr>
                <w:bCs/>
                <w:sz w:val="40"/>
                <w:szCs w:val="40"/>
              </w:rPr>
            </w:pPr>
            <w:r w:rsidRPr="00310DE2">
              <w:rPr>
                <w:sz w:val="40"/>
                <w:szCs w:val="40"/>
              </w:rPr>
              <w:t>SGSC Police Department Strategic Plan</w:t>
            </w:r>
          </w:p>
          <w:p w:rsidR="00091D7C" w:rsidRPr="001300BF" w:rsidRDefault="00091D7C" w:rsidP="00E574BA">
            <w:pPr>
              <w:ind w:left="610" w:hanging="460"/>
              <w:jc w:val="center"/>
              <w:rPr>
                <w:b/>
                <w:bCs/>
                <w:sz w:val="24"/>
                <w:szCs w:val="24"/>
              </w:rPr>
            </w:pPr>
            <w:r w:rsidRPr="00310DE2">
              <w:rPr>
                <w:sz w:val="40"/>
                <w:szCs w:val="40"/>
              </w:rPr>
              <w:t>2019-202</w:t>
            </w:r>
            <w:r w:rsidR="00E574BA">
              <w:rPr>
                <w:sz w:val="40"/>
                <w:szCs w:val="40"/>
              </w:rPr>
              <w:t>3</w:t>
            </w:r>
          </w:p>
        </w:tc>
      </w:tr>
      <w:tr w:rsidR="009D0C0E" w:rsidRPr="001300BF" w:rsidTr="00926913">
        <w:trPr>
          <w:trHeight w:val="576"/>
        </w:trPr>
        <w:tc>
          <w:tcPr>
            <w:tcW w:w="14665" w:type="dxa"/>
            <w:gridSpan w:val="2"/>
          </w:tcPr>
          <w:p w:rsidR="009D0C0E" w:rsidRPr="000677FE" w:rsidRDefault="009D0C0E" w:rsidP="00926913">
            <w:pPr>
              <w:spacing w:after="200" w:line="276" w:lineRule="auto"/>
              <w:rPr>
                <w:rFonts w:ascii="Monotype Corsiva" w:eastAsia="Calibri" w:hAnsi="Monotype Corsiva" w:cs="Tahoma"/>
                <w:sz w:val="23"/>
                <w:szCs w:val="23"/>
              </w:rPr>
            </w:pPr>
            <w:proofErr w:type="gramStart"/>
            <w:r w:rsidRPr="000677FE">
              <w:rPr>
                <w:rFonts w:ascii="Monotype Corsiva" w:eastAsia="Calibri" w:hAnsi="Monotype Corsiva" w:cs="Tahoma"/>
                <w:b/>
                <w:sz w:val="23"/>
                <w:szCs w:val="23"/>
              </w:rPr>
              <w:t xml:space="preserve">Mission </w:t>
            </w:r>
            <w:r w:rsidRPr="000677FE">
              <w:rPr>
                <w:rFonts w:ascii="Monotype Corsiva" w:eastAsia="Calibri" w:hAnsi="Monotype Corsiva" w:cs="Tahoma"/>
                <w:sz w:val="23"/>
                <w:szCs w:val="23"/>
              </w:rPr>
              <w:t xml:space="preserve"> </w:t>
            </w:r>
            <w:r w:rsidRPr="000677FE">
              <w:rPr>
                <w:rFonts w:ascii="Calibri" w:hAnsi="Calibri" w:cs="Times New Roman"/>
                <w:sz w:val="23"/>
                <w:szCs w:val="23"/>
              </w:rPr>
              <w:t>As</w:t>
            </w:r>
            <w:proofErr w:type="gramEnd"/>
            <w:r w:rsidRPr="000677FE">
              <w:rPr>
                <w:rFonts w:ascii="Calibri" w:hAnsi="Calibri" w:cs="Times New Roman"/>
                <w:sz w:val="23"/>
                <w:szCs w:val="23"/>
              </w:rPr>
              <w:t xml:space="preserve"> members of the South Georgia State College Campus Police Department, we are committed to excellence.  We take pride in providing a safe and secure learning environment and assisting those in need with honor and integrity.   Conducting ourselves in a manner that is above reproach by advocating unquestionable ethical standards, professionalism, and honor is our pledge.</w:t>
            </w:r>
          </w:p>
          <w:p w:rsidR="009D0C0E" w:rsidRPr="009D0C0E" w:rsidRDefault="009D0C0E" w:rsidP="009D0C0E">
            <w:pPr>
              <w:spacing w:after="200" w:line="276" w:lineRule="auto"/>
              <w:rPr>
                <w:rFonts w:ascii="Calibri" w:hAnsi="Calibri" w:cs="Times New Roman"/>
              </w:rPr>
            </w:pPr>
            <w:proofErr w:type="gramStart"/>
            <w:r w:rsidRPr="000677FE">
              <w:rPr>
                <w:rFonts w:ascii="Monotype Corsiva" w:eastAsia="Calibri" w:hAnsi="Monotype Corsiva" w:cs="Tahoma"/>
                <w:b/>
                <w:sz w:val="23"/>
                <w:szCs w:val="23"/>
              </w:rPr>
              <w:t xml:space="preserve">Vision </w:t>
            </w:r>
            <w:r w:rsidRPr="000677FE">
              <w:rPr>
                <w:rFonts w:ascii="Calibri" w:hAnsi="Calibri" w:cs="Times New Roman"/>
                <w:sz w:val="23"/>
                <w:szCs w:val="23"/>
              </w:rPr>
              <w:t xml:space="preserve"> </w:t>
            </w:r>
            <w:r w:rsidRPr="009D0C0E">
              <w:rPr>
                <w:rFonts w:ascii="Calibri" w:hAnsi="Calibri" w:cs="Times New Roman"/>
                <w:sz w:val="23"/>
                <w:szCs w:val="23"/>
              </w:rPr>
              <w:t>The</w:t>
            </w:r>
            <w:proofErr w:type="gramEnd"/>
            <w:r w:rsidRPr="009D0C0E">
              <w:rPr>
                <w:rFonts w:ascii="Calibri" w:hAnsi="Calibri" w:cs="Times New Roman"/>
                <w:sz w:val="23"/>
                <w:szCs w:val="23"/>
              </w:rPr>
              <w:t xml:space="preserve"> SGSC Police Department is committed to professionalism and integrity by upholding high ethical and performance standards. The department will encourage technological advances, innovative police practices, and professional development.  Through campus wide and community collaboration, we will enhance our effectiveness and ability to ensure the well-being of the SGSC Campus Community.</w:t>
            </w:r>
          </w:p>
        </w:tc>
      </w:tr>
      <w:tr w:rsidR="002575BF" w:rsidRPr="001300BF" w:rsidTr="00D3215A">
        <w:trPr>
          <w:trHeight w:val="619"/>
        </w:trPr>
        <w:tc>
          <w:tcPr>
            <w:tcW w:w="3780" w:type="dxa"/>
            <w:vMerge w:val="restart"/>
          </w:tcPr>
          <w:p w:rsidR="002575BF" w:rsidRPr="002F519E" w:rsidRDefault="002575BF" w:rsidP="00423D65">
            <w:pPr>
              <w:tabs>
                <w:tab w:val="left" w:pos="820"/>
              </w:tabs>
              <w:spacing w:before="239"/>
              <w:ind w:right="225"/>
              <w:rPr>
                <w:rFonts w:eastAsia="Cambria" w:cs="Cambria"/>
                <w:b/>
                <w:color w:val="000000" w:themeColor="text1"/>
                <w:sz w:val="28"/>
                <w:szCs w:val="28"/>
              </w:rPr>
            </w:pPr>
            <w:r w:rsidRPr="002F519E">
              <w:rPr>
                <w:rFonts w:eastAsia="Cambria" w:cs="Cambria"/>
                <w:b/>
                <w:color w:val="000000" w:themeColor="text1"/>
                <w:sz w:val="28"/>
                <w:szCs w:val="28"/>
              </w:rPr>
              <w:t>GOAL 1</w:t>
            </w:r>
          </w:p>
          <w:p w:rsidR="002575BF" w:rsidRPr="002F519E" w:rsidRDefault="002575BF" w:rsidP="0063662B">
            <w:pPr>
              <w:tabs>
                <w:tab w:val="left" w:pos="820"/>
              </w:tabs>
              <w:spacing w:before="120"/>
              <w:ind w:right="225"/>
              <w:rPr>
                <w:rFonts w:eastAsia="Cambria" w:cs="Cambria"/>
                <w:color w:val="000000" w:themeColor="text1"/>
                <w:sz w:val="28"/>
                <w:szCs w:val="28"/>
              </w:rPr>
            </w:pPr>
            <w:r w:rsidRPr="002F519E">
              <w:rPr>
                <w:rFonts w:eastAsia="Cambria" w:cs="Cambria"/>
                <w:color w:val="000000" w:themeColor="text1"/>
                <w:sz w:val="28"/>
                <w:szCs w:val="28"/>
              </w:rPr>
              <w:t>Promote a culture of understanding that safety is a shared responsibility and a collaborative effort.</w:t>
            </w:r>
          </w:p>
          <w:p w:rsidR="0067594D" w:rsidRDefault="0067594D" w:rsidP="00926913">
            <w:pPr>
              <w:tabs>
                <w:tab w:val="left" w:pos="1511"/>
              </w:tabs>
              <w:spacing w:before="239"/>
              <w:ind w:left="791" w:right="225"/>
              <w:rPr>
                <w:rFonts w:eastAsia="Cambria" w:cs="Cambria"/>
                <w:i/>
                <w:color w:val="000000" w:themeColor="text1"/>
                <w:sz w:val="24"/>
                <w:szCs w:val="24"/>
              </w:rPr>
            </w:pPr>
          </w:p>
          <w:p w:rsidR="002575BF" w:rsidRPr="002F519E" w:rsidRDefault="0067594D" w:rsidP="0067594D">
            <w:pPr>
              <w:tabs>
                <w:tab w:val="left" w:pos="1511"/>
              </w:tabs>
              <w:spacing w:before="239"/>
              <w:ind w:right="225"/>
              <w:rPr>
                <w:rFonts w:eastAsia="Cambria" w:cs="Cambria"/>
                <w:color w:val="000000" w:themeColor="text1"/>
                <w:sz w:val="24"/>
                <w:szCs w:val="24"/>
              </w:rPr>
            </w:pPr>
            <w:r>
              <w:rPr>
                <w:rFonts w:eastAsia="Cambria" w:cs="Cambria"/>
                <w:i/>
                <w:color w:val="000000" w:themeColor="text1"/>
                <w:sz w:val="24"/>
                <w:szCs w:val="24"/>
              </w:rPr>
              <w:t xml:space="preserve">    SGSC </w:t>
            </w:r>
            <w:r w:rsidRPr="002F390C">
              <w:rPr>
                <w:rFonts w:eastAsia="Cambria" w:cs="Cambria"/>
                <w:i/>
                <w:color w:val="000000" w:themeColor="text1"/>
                <w:sz w:val="24"/>
                <w:szCs w:val="24"/>
              </w:rPr>
              <w:t xml:space="preserve">Goal </w:t>
            </w:r>
            <w:r>
              <w:rPr>
                <w:rFonts w:eastAsia="Cambria" w:cs="Cambria"/>
                <w:i/>
                <w:color w:val="000000" w:themeColor="text1"/>
                <w:sz w:val="24"/>
                <w:szCs w:val="24"/>
              </w:rPr>
              <w:t xml:space="preserve">2, </w:t>
            </w:r>
            <w:r w:rsidRPr="002F390C">
              <w:rPr>
                <w:rFonts w:eastAsia="Cambria" w:cs="Cambria"/>
                <w:i/>
                <w:color w:val="000000" w:themeColor="text1"/>
                <w:sz w:val="24"/>
                <w:szCs w:val="24"/>
              </w:rPr>
              <w:t xml:space="preserve">Goal </w:t>
            </w:r>
            <w:r>
              <w:rPr>
                <w:rFonts w:eastAsia="Cambria" w:cs="Cambria"/>
                <w:i/>
                <w:color w:val="000000" w:themeColor="text1"/>
                <w:sz w:val="24"/>
                <w:szCs w:val="24"/>
              </w:rPr>
              <w:t xml:space="preserve">3, and </w:t>
            </w:r>
            <w:r w:rsidRPr="002F390C">
              <w:rPr>
                <w:rFonts w:eastAsia="Cambria" w:cs="Cambria"/>
                <w:i/>
                <w:color w:val="000000" w:themeColor="text1"/>
                <w:sz w:val="24"/>
                <w:szCs w:val="24"/>
              </w:rPr>
              <w:t xml:space="preserve">Goal </w:t>
            </w:r>
            <w:r>
              <w:rPr>
                <w:rFonts w:eastAsia="Cambria" w:cs="Cambria"/>
                <w:i/>
                <w:color w:val="000000" w:themeColor="text1"/>
                <w:sz w:val="24"/>
                <w:szCs w:val="24"/>
              </w:rPr>
              <w:t>4</w:t>
            </w:r>
          </w:p>
        </w:tc>
        <w:tc>
          <w:tcPr>
            <w:tcW w:w="10885" w:type="dxa"/>
          </w:tcPr>
          <w:p w:rsidR="002575BF" w:rsidRPr="001300BF" w:rsidRDefault="00C57C8E" w:rsidP="00465F0B">
            <w:pPr>
              <w:ind w:left="610" w:hanging="460"/>
              <w:rPr>
                <w:bCs/>
                <w:sz w:val="24"/>
                <w:szCs w:val="24"/>
              </w:rPr>
            </w:pPr>
            <w:r w:rsidRPr="001300BF">
              <w:rPr>
                <w:bCs/>
                <w:sz w:val="24"/>
                <w:szCs w:val="24"/>
              </w:rPr>
              <w:t>1a</w:t>
            </w:r>
            <w:r w:rsidR="0067594D" w:rsidRPr="001300BF">
              <w:rPr>
                <w:bCs/>
                <w:sz w:val="24"/>
                <w:szCs w:val="24"/>
              </w:rPr>
              <w:t>. Schedule</w:t>
            </w:r>
            <w:r w:rsidRPr="001300BF">
              <w:rPr>
                <w:bCs/>
                <w:sz w:val="24"/>
                <w:szCs w:val="24"/>
              </w:rPr>
              <w:t xml:space="preserve"> regular meetings with Building Coordinators to discuss safety needs/initiatives.</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423D65">
            <w:pPr>
              <w:ind w:left="610" w:hanging="460"/>
              <w:rPr>
                <w:sz w:val="24"/>
                <w:szCs w:val="24"/>
              </w:rPr>
            </w:pPr>
            <w:r w:rsidRPr="001300BF">
              <w:rPr>
                <w:sz w:val="24"/>
                <w:szCs w:val="24"/>
              </w:rPr>
              <w:t xml:space="preserve">1b.  Increase Campus Community connections though visibility and contacts to include both planned and spontaneous interactions with students, staff and </w:t>
            </w:r>
            <w:r w:rsidR="00423D65" w:rsidRPr="001300BF">
              <w:rPr>
                <w:sz w:val="24"/>
                <w:szCs w:val="24"/>
              </w:rPr>
              <w:t>-</w:t>
            </w:r>
            <w:r w:rsidRPr="001300BF">
              <w:rPr>
                <w:sz w:val="24"/>
                <w:szCs w:val="24"/>
              </w:rPr>
              <w:t>faculty.</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465F0B">
            <w:pPr>
              <w:ind w:left="610" w:hanging="460"/>
              <w:rPr>
                <w:sz w:val="24"/>
                <w:szCs w:val="24"/>
              </w:rPr>
            </w:pPr>
            <w:r w:rsidRPr="001300BF">
              <w:rPr>
                <w:spacing w:val="-1"/>
                <w:sz w:val="24"/>
                <w:szCs w:val="24"/>
              </w:rPr>
              <w:t>1c.  Provide quality training and presentations for the Campus Community on matters</w:t>
            </w:r>
            <w:r w:rsidRPr="001300BF">
              <w:rPr>
                <w:sz w:val="24"/>
                <w:szCs w:val="24"/>
              </w:rPr>
              <w:t xml:space="preserve"> relevant to safety and</w:t>
            </w:r>
            <w:r w:rsidRPr="001300BF">
              <w:rPr>
                <w:spacing w:val="-6"/>
                <w:sz w:val="24"/>
                <w:szCs w:val="24"/>
              </w:rPr>
              <w:t xml:space="preserve"> </w:t>
            </w:r>
            <w:r w:rsidRPr="001300BF">
              <w:rPr>
                <w:sz w:val="24"/>
                <w:szCs w:val="24"/>
              </w:rPr>
              <w:t>security.</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465F0B">
            <w:pPr>
              <w:ind w:left="610" w:hanging="460"/>
              <w:rPr>
                <w:sz w:val="24"/>
                <w:szCs w:val="24"/>
              </w:rPr>
            </w:pPr>
            <w:r w:rsidRPr="001300BF">
              <w:rPr>
                <w:sz w:val="24"/>
                <w:szCs w:val="24"/>
              </w:rPr>
              <w:t>1d.  Engage in proactive self-initiated traffic enforcement activities.</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465F0B">
            <w:pPr>
              <w:ind w:left="610" w:hanging="460"/>
              <w:rPr>
                <w:sz w:val="24"/>
                <w:szCs w:val="24"/>
              </w:rPr>
            </w:pPr>
            <w:r w:rsidRPr="001300BF">
              <w:rPr>
                <w:sz w:val="24"/>
                <w:szCs w:val="24"/>
              </w:rPr>
              <w:t>1e.  Develop Satisfaction Survey’s to measure perception of police services and safety on campus.</w:t>
            </w:r>
          </w:p>
        </w:tc>
      </w:tr>
      <w:tr w:rsidR="002575BF" w:rsidRPr="001300BF" w:rsidTr="00D3215A">
        <w:trPr>
          <w:trHeight w:val="619"/>
        </w:trPr>
        <w:tc>
          <w:tcPr>
            <w:tcW w:w="3780" w:type="dxa"/>
            <w:vMerge w:val="restart"/>
          </w:tcPr>
          <w:p w:rsidR="002575BF" w:rsidRPr="002F519E" w:rsidRDefault="002575BF" w:rsidP="00423D65">
            <w:pPr>
              <w:tabs>
                <w:tab w:val="left" w:pos="820"/>
              </w:tabs>
              <w:spacing w:before="239"/>
              <w:ind w:left="330" w:right="225"/>
              <w:rPr>
                <w:rFonts w:eastAsia="Cambria" w:cs="Cambria"/>
                <w:b/>
                <w:color w:val="000000" w:themeColor="text1"/>
                <w:sz w:val="24"/>
                <w:szCs w:val="24"/>
              </w:rPr>
            </w:pPr>
          </w:p>
          <w:p w:rsidR="002575BF" w:rsidRPr="002F519E" w:rsidRDefault="002575BF" w:rsidP="00423D65">
            <w:pPr>
              <w:tabs>
                <w:tab w:val="left" w:pos="820"/>
              </w:tabs>
              <w:spacing w:before="239"/>
              <w:ind w:right="225"/>
              <w:rPr>
                <w:rFonts w:eastAsia="Cambria" w:cs="Cambria"/>
                <w:b/>
                <w:color w:val="000000" w:themeColor="text1"/>
                <w:sz w:val="28"/>
                <w:szCs w:val="28"/>
              </w:rPr>
            </w:pPr>
            <w:r w:rsidRPr="002F519E">
              <w:rPr>
                <w:rFonts w:eastAsia="Cambria" w:cs="Cambria"/>
                <w:b/>
                <w:color w:val="000000" w:themeColor="text1"/>
                <w:sz w:val="28"/>
                <w:szCs w:val="28"/>
              </w:rPr>
              <w:t>GOAL 2</w:t>
            </w:r>
          </w:p>
          <w:p w:rsidR="002575BF" w:rsidRPr="002F519E" w:rsidRDefault="002575BF" w:rsidP="0063662B">
            <w:pPr>
              <w:tabs>
                <w:tab w:val="left" w:pos="820"/>
              </w:tabs>
              <w:spacing w:before="120"/>
              <w:ind w:right="225"/>
              <w:rPr>
                <w:rFonts w:eastAsia="Cambria" w:cs="Cambria"/>
                <w:color w:val="000000" w:themeColor="text1"/>
                <w:sz w:val="28"/>
                <w:szCs w:val="28"/>
              </w:rPr>
            </w:pPr>
            <w:r w:rsidRPr="002F519E">
              <w:rPr>
                <w:rFonts w:eastAsia="Cambria" w:cs="Cambria"/>
                <w:color w:val="000000" w:themeColor="text1"/>
                <w:sz w:val="28"/>
                <w:szCs w:val="28"/>
              </w:rPr>
              <w:t>Recruit and retain quality, high performing personnel to support the SGSC Police Department mission.</w:t>
            </w:r>
          </w:p>
          <w:p w:rsidR="002575BF" w:rsidRDefault="002575BF" w:rsidP="00423D65">
            <w:pPr>
              <w:ind w:left="330"/>
              <w:rPr>
                <w:b/>
                <w:color w:val="000000" w:themeColor="text1"/>
                <w:sz w:val="24"/>
                <w:szCs w:val="24"/>
              </w:rPr>
            </w:pPr>
          </w:p>
          <w:p w:rsidR="00926913" w:rsidRDefault="00926913" w:rsidP="00423D65">
            <w:pPr>
              <w:ind w:left="330"/>
              <w:rPr>
                <w:rFonts w:eastAsia="Cambria" w:cs="Cambria"/>
                <w:i/>
                <w:color w:val="000000" w:themeColor="text1"/>
                <w:sz w:val="24"/>
                <w:szCs w:val="24"/>
              </w:rPr>
            </w:pPr>
          </w:p>
          <w:p w:rsidR="0067594D" w:rsidRDefault="0067594D" w:rsidP="0067594D">
            <w:pPr>
              <w:rPr>
                <w:rFonts w:eastAsia="Cambria" w:cs="Cambria"/>
                <w:i/>
                <w:color w:val="000000" w:themeColor="text1"/>
                <w:sz w:val="24"/>
                <w:szCs w:val="24"/>
              </w:rPr>
            </w:pPr>
          </w:p>
          <w:p w:rsidR="00926913" w:rsidRPr="002F519E" w:rsidRDefault="0067594D" w:rsidP="0067594D">
            <w:pPr>
              <w:rPr>
                <w:b/>
                <w:color w:val="000000" w:themeColor="text1"/>
                <w:sz w:val="24"/>
                <w:szCs w:val="24"/>
              </w:rPr>
            </w:pPr>
            <w:r>
              <w:rPr>
                <w:rFonts w:eastAsia="Cambria" w:cs="Cambria"/>
                <w:i/>
                <w:color w:val="000000" w:themeColor="text1"/>
                <w:sz w:val="24"/>
                <w:szCs w:val="24"/>
              </w:rPr>
              <w:t xml:space="preserve">                                           SGSC </w:t>
            </w:r>
            <w:r w:rsidR="00926913" w:rsidRPr="002F390C">
              <w:rPr>
                <w:rFonts w:eastAsia="Cambria" w:cs="Cambria"/>
                <w:i/>
                <w:color w:val="000000" w:themeColor="text1"/>
                <w:sz w:val="24"/>
                <w:szCs w:val="24"/>
              </w:rPr>
              <w:t>Goal 2</w:t>
            </w:r>
          </w:p>
        </w:tc>
        <w:tc>
          <w:tcPr>
            <w:tcW w:w="10885" w:type="dxa"/>
          </w:tcPr>
          <w:p w:rsidR="002575BF" w:rsidRPr="001300BF" w:rsidRDefault="002575BF" w:rsidP="00465F0B">
            <w:pPr>
              <w:ind w:left="610" w:hanging="460"/>
              <w:rPr>
                <w:sz w:val="24"/>
                <w:szCs w:val="24"/>
              </w:rPr>
            </w:pPr>
            <w:r w:rsidRPr="001300BF">
              <w:rPr>
                <w:sz w:val="24"/>
                <w:szCs w:val="24"/>
              </w:rPr>
              <w:t>2a</w:t>
            </w:r>
            <w:r w:rsidR="0067594D" w:rsidRPr="001300BF">
              <w:rPr>
                <w:sz w:val="24"/>
                <w:szCs w:val="24"/>
              </w:rPr>
              <w:t>. Develop</w:t>
            </w:r>
            <w:r w:rsidRPr="001300BF">
              <w:rPr>
                <w:sz w:val="24"/>
                <w:szCs w:val="24"/>
              </w:rPr>
              <w:t xml:space="preserve"> strategies to enhance job satisfaction.</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C57C8E">
            <w:pPr>
              <w:ind w:left="610" w:hanging="460"/>
              <w:rPr>
                <w:sz w:val="24"/>
                <w:szCs w:val="24"/>
              </w:rPr>
            </w:pPr>
            <w:r w:rsidRPr="001300BF">
              <w:rPr>
                <w:sz w:val="24"/>
                <w:szCs w:val="24"/>
              </w:rPr>
              <w:t xml:space="preserve">2b.  Evaluate and revise hiring and recruiting processes and practices.  </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B52C55">
            <w:pPr>
              <w:ind w:left="610" w:hanging="460"/>
              <w:rPr>
                <w:sz w:val="24"/>
                <w:szCs w:val="24"/>
              </w:rPr>
            </w:pPr>
            <w:proofErr w:type="spellStart"/>
            <w:r w:rsidRPr="001300BF">
              <w:rPr>
                <w:sz w:val="24"/>
                <w:szCs w:val="24"/>
              </w:rPr>
              <w:t>2</w:t>
            </w:r>
            <w:r w:rsidR="00B52C55">
              <w:rPr>
                <w:sz w:val="24"/>
                <w:szCs w:val="24"/>
              </w:rPr>
              <w:t>c</w:t>
            </w:r>
            <w:proofErr w:type="spellEnd"/>
            <w:proofErr w:type="gramStart"/>
            <w:r w:rsidRPr="001300BF">
              <w:rPr>
                <w:sz w:val="24"/>
                <w:szCs w:val="24"/>
              </w:rPr>
              <w:t>.  Pr</w:t>
            </w:r>
            <w:bookmarkStart w:id="0" w:name="_GoBack"/>
            <w:bookmarkEnd w:id="0"/>
            <w:r w:rsidRPr="001300BF">
              <w:rPr>
                <w:sz w:val="24"/>
                <w:szCs w:val="24"/>
              </w:rPr>
              <w:t>omote</w:t>
            </w:r>
            <w:proofErr w:type="gramEnd"/>
            <w:r w:rsidRPr="001300BF">
              <w:rPr>
                <w:sz w:val="24"/>
                <w:szCs w:val="24"/>
              </w:rPr>
              <w:t xml:space="preserve"> an environment in which all personnel are committed to a professional code of ethics, accountability and personal responsibility.</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B52C55">
            <w:pPr>
              <w:ind w:left="610" w:hanging="460"/>
              <w:rPr>
                <w:sz w:val="24"/>
                <w:szCs w:val="24"/>
              </w:rPr>
            </w:pPr>
            <w:proofErr w:type="spellStart"/>
            <w:r w:rsidRPr="001300BF">
              <w:rPr>
                <w:sz w:val="24"/>
                <w:szCs w:val="24"/>
              </w:rPr>
              <w:t>2</w:t>
            </w:r>
            <w:r w:rsidR="00B52C55">
              <w:rPr>
                <w:sz w:val="24"/>
                <w:szCs w:val="24"/>
              </w:rPr>
              <w:t>d</w:t>
            </w:r>
            <w:proofErr w:type="spellEnd"/>
            <w:proofErr w:type="gramStart"/>
            <w:r w:rsidRPr="001300BF">
              <w:rPr>
                <w:sz w:val="24"/>
                <w:szCs w:val="24"/>
              </w:rPr>
              <w:t>.  Provide</w:t>
            </w:r>
            <w:proofErr w:type="gramEnd"/>
            <w:r w:rsidRPr="001300BF">
              <w:rPr>
                <w:sz w:val="24"/>
                <w:szCs w:val="24"/>
              </w:rPr>
              <w:t xml:space="preserve"> continuing professional and personal development opportunities for all department employees specific to the needs of SGSC.</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B52C55">
            <w:pPr>
              <w:ind w:left="610" w:hanging="460"/>
              <w:rPr>
                <w:sz w:val="24"/>
                <w:szCs w:val="24"/>
              </w:rPr>
            </w:pPr>
            <w:proofErr w:type="spellStart"/>
            <w:r w:rsidRPr="001300BF">
              <w:rPr>
                <w:sz w:val="24"/>
                <w:szCs w:val="24"/>
              </w:rPr>
              <w:t>2</w:t>
            </w:r>
            <w:r w:rsidR="00B52C55">
              <w:rPr>
                <w:sz w:val="24"/>
                <w:szCs w:val="24"/>
              </w:rPr>
              <w:t>e</w:t>
            </w:r>
            <w:proofErr w:type="spellEnd"/>
            <w:proofErr w:type="gramStart"/>
            <w:r w:rsidRPr="001300BF">
              <w:rPr>
                <w:sz w:val="24"/>
                <w:szCs w:val="24"/>
              </w:rPr>
              <w:t>.  Provide</w:t>
            </w:r>
            <w:proofErr w:type="gramEnd"/>
            <w:r w:rsidRPr="001300BF">
              <w:rPr>
                <w:sz w:val="24"/>
                <w:szCs w:val="24"/>
              </w:rPr>
              <w:t xml:space="preserve"> a framework to allow for development opportunities and succession planning.</w:t>
            </w:r>
          </w:p>
        </w:tc>
      </w:tr>
      <w:tr w:rsidR="002575BF" w:rsidRPr="001300BF" w:rsidTr="00D3215A">
        <w:trPr>
          <w:trHeight w:val="619"/>
        </w:trPr>
        <w:tc>
          <w:tcPr>
            <w:tcW w:w="3780" w:type="dxa"/>
            <w:vMerge/>
          </w:tcPr>
          <w:p w:rsidR="002575BF" w:rsidRPr="002F519E" w:rsidRDefault="002575BF" w:rsidP="00423D65">
            <w:pPr>
              <w:tabs>
                <w:tab w:val="left" w:pos="820"/>
              </w:tabs>
              <w:spacing w:before="239"/>
              <w:ind w:left="330" w:right="225"/>
              <w:rPr>
                <w:rFonts w:eastAsia="Cambria" w:cs="Cambria"/>
                <w:b/>
                <w:color w:val="000000" w:themeColor="text1"/>
                <w:sz w:val="24"/>
                <w:szCs w:val="24"/>
              </w:rPr>
            </w:pPr>
          </w:p>
        </w:tc>
        <w:tc>
          <w:tcPr>
            <w:tcW w:w="10885" w:type="dxa"/>
          </w:tcPr>
          <w:p w:rsidR="002575BF" w:rsidRPr="001300BF" w:rsidRDefault="002575BF" w:rsidP="00B52C55">
            <w:pPr>
              <w:ind w:left="610" w:hanging="460"/>
              <w:rPr>
                <w:sz w:val="24"/>
                <w:szCs w:val="24"/>
              </w:rPr>
            </w:pPr>
            <w:proofErr w:type="spellStart"/>
            <w:r w:rsidRPr="001300BF">
              <w:rPr>
                <w:sz w:val="24"/>
                <w:szCs w:val="24"/>
              </w:rPr>
              <w:t>2</w:t>
            </w:r>
            <w:r w:rsidR="00B52C55">
              <w:rPr>
                <w:sz w:val="24"/>
                <w:szCs w:val="24"/>
              </w:rPr>
              <w:t>f</w:t>
            </w:r>
            <w:proofErr w:type="spellEnd"/>
            <w:proofErr w:type="gramStart"/>
            <w:r w:rsidRPr="001300BF">
              <w:rPr>
                <w:sz w:val="24"/>
                <w:szCs w:val="24"/>
              </w:rPr>
              <w:t>.  Mandate</w:t>
            </w:r>
            <w:proofErr w:type="gramEnd"/>
            <w:r w:rsidRPr="001300BF">
              <w:rPr>
                <w:sz w:val="24"/>
                <w:szCs w:val="24"/>
              </w:rPr>
              <w:t xml:space="preserve"> monthly command staff meetings.</w:t>
            </w:r>
          </w:p>
        </w:tc>
      </w:tr>
    </w:tbl>
    <w:p w:rsidR="00B52C55" w:rsidRDefault="00B52C55">
      <w:r>
        <w:br w:type="page"/>
      </w:r>
    </w:p>
    <w:tbl>
      <w:tblPr>
        <w:tblStyle w:val="TableGridLight"/>
        <w:tblW w:w="14665" w:type="dxa"/>
        <w:tblLook w:val="04A0" w:firstRow="1" w:lastRow="0" w:firstColumn="1" w:lastColumn="0" w:noHBand="0" w:noVBand="1"/>
      </w:tblPr>
      <w:tblGrid>
        <w:gridCol w:w="3780"/>
        <w:gridCol w:w="10885"/>
      </w:tblGrid>
      <w:tr w:rsidR="00465F0B" w:rsidRPr="001300BF" w:rsidTr="0067594D">
        <w:trPr>
          <w:trHeight w:val="634"/>
        </w:trPr>
        <w:tc>
          <w:tcPr>
            <w:tcW w:w="3780" w:type="dxa"/>
            <w:vMerge w:val="restart"/>
          </w:tcPr>
          <w:p w:rsidR="00465F0B" w:rsidRPr="002F519E" w:rsidRDefault="00465F0B" w:rsidP="00423D65">
            <w:pPr>
              <w:tabs>
                <w:tab w:val="left" w:pos="820"/>
              </w:tabs>
              <w:spacing w:before="239"/>
              <w:ind w:right="225"/>
              <w:rPr>
                <w:rFonts w:eastAsia="Cambria" w:cs="Cambria"/>
                <w:b/>
                <w:color w:val="000000" w:themeColor="text1"/>
                <w:sz w:val="24"/>
                <w:szCs w:val="24"/>
              </w:rPr>
            </w:pPr>
          </w:p>
          <w:p w:rsidR="00465F0B" w:rsidRPr="002F519E" w:rsidRDefault="00465F0B" w:rsidP="00423D65">
            <w:pPr>
              <w:tabs>
                <w:tab w:val="left" w:pos="820"/>
              </w:tabs>
              <w:spacing w:before="239"/>
              <w:ind w:right="225"/>
              <w:rPr>
                <w:rFonts w:eastAsia="Cambria" w:cs="Cambria"/>
                <w:b/>
                <w:color w:val="000000" w:themeColor="text1"/>
                <w:sz w:val="28"/>
                <w:szCs w:val="28"/>
              </w:rPr>
            </w:pPr>
            <w:r w:rsidRPr="002F519E">
              <w:rPr>
                <w:rFonts w:eastAsia="Cambria" w:cs="Cambria"/>
                <w:b/>
                <w:color w:val="000000" w:themeColor="text1"/>
                <w:sz w:val="28"/>
                <w:szCs w:val="28"/>
              </w:rPr>
              <w:t>GOAL 3</w:t>
            </w:r>
          </w:p>
          <w:p w:rsidR="00465F0B" w:rsidRPr="002F519E" w:rsidRDefault="00465F0B" w:rsidP="0063662B">
            <w:pPr>
              <w:tabs>
                <w:tab w:val="left" w:pos="820"/>
              </w:tabs>
              <w:spacing w:before="120"/>
              <w:ind w:right="225"/>
              <w:rPr>
                <w:rFonts w:eastAsia="Cambria" w:cs="Cambria"/>
                <w:color w:val="000000" w:themeColor="text1"/>
                <w:sz w:val="28"/>
                <w:szCs w:val="28"/>
              </w:rPr>
            </w:pPr>
            <w:r w:rsidRPr="002F519E">
              <w:rPr>
                <w:rFonts w:eastAsia="Cambria" w:cs="Cambria"/>
                <w:color w:val="000000" w:themeColor="text1"/>
                <w:sz w:val="28"/>
                <w:szCs w:val="28"/>
              </w:rPr>
              <w:t xml:space="preserve">Continue to develop and execute comprehensive and collaborative emergency preparedness and response planning and training for SGSC constituents.   </w:t>
            </w:r>
          </w:p>
          <w:p w:rsidR="00926913" w:rsidRDefault="00926913" w:rsidP="00423D65">
            <w:pPr>
              <w:tabs>
                <w:tab w:val="left" w:pos="820"/>
              </w:tabs>
              <w:spacing w:before="239"/>
              <w:ind w:right="225"/>
              <w:rPr>
                <w:rFonts w:eastAsia="Cambria" w:cs="Cambria"/>
                <w:b/>
                <w:color w:val="000000" w:themeColor="text1"/>
                <w:sz w:val="24"/>
                <w:szCs w:val="24"/>
              </w:rPr>
            </w:pPr>
          </w:p>
          <w:p w:rsidR="00926913" w:rsidRDefault="00926913" w:rsidP="00926913">
            <w:pPr>
              <w:rPr>
                <w:rFonts w:eastAsia="Cambria" w:cs="Cambria"/>
                <w:i/>
                <w:color w:val="000000" w:themeColor="text1"/>
                <w:sz w:val="24"/>
                <w:szCs w:val="24"/>
              </w:rPr>
            </w:pPr>
          </w:p>
          <w:p w:rsidR="00CF7225" w:rsidRDefault="00CF7225" w:rsidP="00926913">
            <w:pPr>
              <w:ind w:left="971"/>
              <w:rPr>
                <w:rFonts w:eastAsia="Cambria" w:cs="Cambria"/>
                <w:i/>
                <w:color w:val="000000" w:themeColor="text1"/>
                <w:sz w:val="24"/>
                <w:szCs w:val="24"/>
              </w:rPr>
            </w:pPr>
          </w:p>
          <w:p w:rsidR="00CF7225" w:rsidRDefault="00CF7225" w:rsidP="00926913">
            <w:pPr>
              <w:ind w:left="971"/>
              <w:rPr>
                <w:rFonts w:eastAsia="Cambria" w:cs="Cambria"/>
                <w:i/>
                <w:color w:val="000000" w:themeColor="text1"/>
                <w:sz w:val="24"/>
                <w:szCs w:val="24"/>
              </w:rPr>
            </w:pPr>
          </w:p>
          <w:p w:rsidR="00CF7225" w:rsidRDefault="00CF7225" w:rsidP="00926913">
            <w:pPr>
              <w:ind w:left="971"/>
              <w:rPr>
                <w:rFonts w:eastAsia="Cambria" w:cs="Cambria"/>
                <w:i/>
                <w:color w:val="000000" w:themeColor="text1"/>
                <w:sz w:val="24"/>
                <w:szCs w:val="24"/>
              </w:rPr>
            </w:pPr>
          </w:p>
          <w:p w:rsidR="00CF7225" w:rsidRDefault="00CF7225" w:rsidP="00926913">
            <w:pPr>
              <w:ind w:left="971"/>
              <w:rPr>
                <w:rFonts w:eastAsia="Cambria" w:cs="Cambria"/>
                <w:i/>
                <w:color w:val="000000" w:themeColor="text1"/>
                <w:sz w:val="24"/>
                <w:szCs w:val="24"/>
              </w:rPr>
            </w:pPr>
          </w:p>
          <w:p w:rsidR="0067594D" w:rsidRDefault="0067594D" w:rsidP="00926913">
            <w:pPr>
              <w:ind w:left="971"/>
              <w:rPr>
                <w:rFonts w:eastAsia="Cambria" w:cs="Cambria"/>
                <w:i/>
                <w:color w:val="000000" w:themeColor="text1"/>
                <w:sz w:val="24"/>
                <w:szCs w:val="24"/>
              </w:rPr>
            </w:pPr>
          </w:p>
          <w:p w:rsidR="0067594D" w:rsidRDefault="0067594D" w:rsidP="00926913">
            <w:pPr>
              <w:ind w:left="971"/>
              <w:rPr>
                <w:rFonts w:eastAsia="Cambria" w:cs="Cambria"/>
                <w:i/>
                <w:color w:val="000000" w:themeColor="text1"/>
                <w:sz w:val="24"/>
                <w:szCs w:val="24"/>
              </w:rPr>
            </w:pPr>
          </w:p>
          <w:p w:rsidR="0067594D" w:rsidRDefault="0067594D" w:rsidP="0067594D">
            <w:pPr>
              <w:rPr>
                <w:rFonts w:eastAsia="Cambria" w:cs="Cambria"/>
                <w:i/>
                <w:color w:val="000000" w:themeColor="text1"/>
                <w:sz w:val="24"/>
                <w:szCs w:val="24"/>
              </w:rPr>
            </w:pPr>
            <w:r>
              <w:rPr>
                <w:rFonts w:eastAsia="Cambria" w:cs="Cambria"/>
                <w:i/>
                <w:color w:val="000000" w:themeColor="text1"/>
                <w:sz w:val="24"/>
                <w:szCs w:val="24"/>
              </w:rPr>
              <w:t xml:space="preserve">     </w:t>
            </w:r>
          </w:p>
          <w:p w:rsidR="00465F0B" w:rsidRPr="00926913" w:rsidRDefault="0067594D" w:rsidP="0067594D">
            <w:pPr>
              <w:rPr>
                <w:rFonts w:eastAsia="Cambria" w:cs="Cambria"/>
                <w:sz w:val="24"/>
                <w:szCs w:val="24"/>
              </w:rPr>
            </w:pPr>
            <w:r>
              <w:rPr>
                <w:rFonts w:eastAsia="Cambria" w:cs="Cambria"/>
                <w:i/>
                <w:color w:val="000000" w:themeColor="text1"/>
                <w:sz w:val="24"/>
                <w:szCs w:val="24"/>
              </w:rPr>
              <w:t xml:space="preserve">      SGSC </w:t>
            </w:r>
            <w:r w:rsidR="00926913" w:rsidRPr="002F390C">
              <w:rPr>
                <w:rFonts w:eastAsia="Cambria" w:cs="Cambria"/>
                <w:i/>
                <w:color w:val="000000" w:themeColor="text1"/>
                <w:sz w:val="24"/>
                <w:szCs w:val="24"/>
              </w:rPr>
              <w:t xml:space="preserve">Goal </w:t>
            </w:r>
            <w:r w:rsidR="00926913">
              <w:rPr>
                <w:rFonts w:eastAsia="Cambria" w:cs="Cambria"/>
                <w:i/>
                <w:color w:val="000000" w:themeColor="text1"/>
                <w:sz w:val="24"/>
                <w:szCs w:val="24"/>
              </w:rPr>
              <w:t xml:space="preserve">2, </w:t>
            </w:r>
            <w:r w:rsidR="00926913" w:rsidRPr="002F390C">
              <w:rPr>
                <w:rFonts w:eastAsia="Cambria" w:cs="Cambria"/>
                <w:i/>
                <w:color w:val="000000" w:themeColor="text1"/>
                <w:sz w:val="24"/>
                <w:szCs w:val="24"/>
              </w:rPr>
              <w:t xml:space="preserve">Goal </w:t>
            </w:r>
            <w:r w:rsidR="00926913">
              <w:rPr>
                <w:rFonts w:eastAsia="Cambria" w:cs="Cambria"/>
                <w:i/>
                <w:color w:val="000000" w:themeColor="text1"/>
                <w:sz w:val="24"/>
                <w:szCs w:val="24"/>
              </w:rPr>
              <w:t xml:space="preserve">3, and </w:t>
            </w:r>
            <w:r w:rsidR="00926913" w:rsidRPr="002F390C">
              <w:rPr>
                <w:rFonts w:eastAsia="Cambria" w:cs="Cambria"/>
                <w:i/>
                <w:color w:val="000000" w:themeColor="text1"/>
                <w:sz w:val="24"/>
                <w:szCs w:val="24"/>
              </w:rPr>
              <w:t xml:space="preserve">Goal </w:t>
            </w:r>
            <w:r w:rsidR="00926913">
              <w:rPr>
                <w:rFonts w:eastAsia="Cambria" w:cs="Cambria"/>
                <w:i/>
                <w:color w:val="000000" w:themeColor="text1"/>
                <w:sz w:val="24"/>
                <w:szCs w:val="24"/>
              </w:rPr>
              <w:t>4</w:t>
            </w:r>
          </w:p>
        </w:tc>
        <w:tc>
          <w:tcPr>
            <w:tcW w:w="10885" w:type="dxa"/>
          </w:tcPr>
          <w:p w:rsidR="00465F0B" w:rsidRPr="001300BF" w:rsidRDefault="00465F0B" w:rsidP="00465F0B">
            <w:pPr>
              <w:ind w:left="610" w:hanging="460"/>
              <w:rPr>
                <w:sz w:val="24"/>
                <w:szCs w:val="24"/>
              </w:rPr>
            </w:pPr>
            <w:r w:rsidRPr="001300BF">
              <w:rPr>
                <w:sz w:val="24"/>
                <w:szCs w:val="24"/>
              </w:rPr>
              <w:t>3a</w:t>
            </w:r>
            <w:r w:rsidR="0067594D" w:rsidRPr="001300BF">
              <w:rPr>
                <w:sz w:val="24"/>
                <w:szCs w:val="24"/>
              </w:rPr>
              <w:t>. Heighten</w:t>
            </w:r>
            <w:r w:rsidRPr="001300BF">
              <w:rPr>
                <w:sz w:val="24"/>
                <w:szCs w:val="24"/>
              </w:rPr>
              <w:t xml:space="preserve"> the South Georgia State College Emergency Response Team’s (ERT) ability to prepare for, respond to, and recover from emergencies. </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3b.  Develop formalized policies/procedures consistent for delivery of timely warnings, emergency notifications, and other relevant information.</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 xml:space="preserve">3c.  Update and distribute Building Coordinator guidelines.  </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3d.  Purchase “Stop the Bleed” tourniquets for both campuses.</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3e.  Review policies and procedures manuals for revisions on a three-year rotation.  Update as needed.</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3f.  Participate in community wide exercises.</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3g.  Provide a coordinated response to disaster situations.</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3h.  Designate Safe Refuge Locations</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3i.  Organize an SGSC Sexual Assault Response Team in order to provide a victim centered approach when responding to sexual assaults on campus.</w:t>
            </w:r>
          </w:p>
        </w:tc>
      </w:tr>
      <w:tr w:rsidR="00465F0B" w:rsidRPr="001300BF" w:rsidTr="0067594D">
        <w:trPr>
          <w:trHeight w:val="634"/>
        </w:trPr>
        <w:tc>
          <w:tcPr>
            <w:tcW w:w="3780" w:type="dxa"/>
            <w:vMerge/>
          </w:tcPr>
          <w:p w:rsidR="00465F0B" w:rsidRPr="002F519E" w:rsidRDefault="00465F0B" w:rsidP="00423D65">
            <w:pPr>
              <w:tabs>
                <w:tab w:val="left" w:pos="820"/>
              </w:tabs>
              <w:spacing w:before="239"/>
              <w:ind w:right="225"/>
              <w:rPr>
                <w:rFonts w:eastAsia="Cambria" w:cs="Cambria"/>
                <w:b/>
                <w:color w:val="000000" w:themeColor="text1"/>
                <w:sz w:val="24"/>
                <w:szCs w:val="24"/>
              </w:rPr>
            </w:pPr>
          </w:p>
        </w:tc>
        <w:tc>
          <w:tcPr>
            <w:tcW w:w="10885" w:type="dxa"/>
          </w:tcPr>
          <w:p w:rsidR="00465F0B" w:rsidRPr="001300BF" w:rsidRDefault="00465F0B" w:rsidP="00465F0B">
            <w:pPr>
              <w:ind w:left="610" w:hanging="460"/>
              <w:rPr>
                <w:sz w:val="24"/>
                <w:szCs w:val="24"/>
              </w:rPr>
            </w:pPr>
            <w:r w:rsidRPr="001300BF">
              <w:rPr>
                <w:sz w:val="24"/>
                <w:szCs w:val="24"/>
              </w:rPr>
              <w:t>3j.  Create checklists with various divisions for “what to do if” situations to be included in the EOP.</w:t>
            </w:r>
          </w:p>
        </w:tc>
      </w:tr>
      <w:tr w:rsidR="00423D65" w:rsidRPr="001300BF" w:rsidTr="0067594D">
        <w:trPr>
          <w:trHeight w:val="634"/>
        </w:trPr>
        <w:tc>
          <w:tcPr>
            <w:tcW w:w="3780" w:type="dxa"/>
            <w:vMerge w:val="restart"/>
          </w:tcPr>
          <w:p w:rsidR="00423D65" w:rsidRPr="002F519E" w:rsidRDefault="00423D65" w:rsidP="00423D65">
            <w:pPr>
              <w:tabs>
                <w:tab w:val="left" w:pos="820"/>
              </w:tabs>
              <w:spacing w:before="239"/>
              <w:ind w:right="225"/>
              <w:rPr>
                <w:rFonts w:eastAsia="Cambria" w:cs="Cambria"/>
                <w:b/>
                <w:color w:val="000000" w:themeColor="text1"/>
                <w:sz w:val="28"/>
                <w:szCs w:val="28"/>
              </w:rPr>
            </w:pPr>
            <w:r w:rsidRPr="002F519E">
              <w:rPr>
                <w:rFonts w:eastAsia="Cambria" w:cs="Cambria"/>
                <w:b/>
                <w:color w:val="000000" w:themeColor="text1"/>
                <w:sz w:val="28"/>
                <w:szCs w:val="28"/>
              </w:rPr>
              <w:t>GOAL 4</w:t>
            </w:r>
          </w:p>
          <w:p w:rsidR="0067594D" w:rsidRDefault="00423D65" w:rsidP="0067594D">
            <w:pPr>
              <w:tabs>
                <w:tab w:val="left" w:pos="820"/>
              </w:tabs>
              <w:spacing w:before="120"/>
              <w:ind w:right="225"/>
              <w:rPr>
                <w:rFonts w:eastAsia="Cambria" w:cs="Cambria"/>
                <w:color w:val="000000" w:themeColor="text1"/>
                <w:sz w:val="28"/>
                <w:szCs w:val="28"/>
              </w:rPr>
            </w:pPr>
            <w:r w:rsidRPr="002F519E">
              <w:rPr>
                <w:rFonts w:eastAsia="Cambria" w:cs="Cambria"/>
                <w:color w:val="000000" w:themeColor="text1"/>
                <w:sz w:val="28"/>
                <w:szCs w:val="28"/>
              </w:rPr>
              <w:t>Facilitate the use of technology to enhance safety and security.</w:t>
            </w:r>
          </w:p>
          <w:p w:rsidR="00F47608" w:rsidRPr="002F519E" w:rsidRDefault="0067594D" w:rsidP="0067594D">
            <w:pPr>
              <w:tabs>
                <w:tab w:val="left" w:pos="820"/>
              </w:tabs>
              <w:spacing w:before="120"/>
              <w:ind w:right="225"/>
              <w:rPr>
                <w:rFonts w:eastAsia="Cambria" w:cs="Cambria"/>
                <w:color w:val="000000" w:themeColor="text1"/>
                <w:sz w:val="28"/>
                <w:szCs w:val="28"/>
              </w:rPr>
            </w:pPr>
            <w:r>
              <w:rPr>
                <w:rFonts w:eastAsia="Cambria" w:cs="Cambria"/>
                <w:color w:val="000000" w:themeColor="text1"/>
                <w:sz w:val="28"/>
                <w:szCs w:val="28"/>
              </w:rPr>
              <w:t xml:space="preserve">                                  </w:t>
            </w:r>
            <w:r>
              <w:rPr>
                <w:rFonts w:eastAsia="Cambria" w:cs="Cambria"/>
                <w:i/>
                <w:color w:val="000000" w:themeColor="text1"/>
                <w:sz w:val="24"/>
                <w:szCs w:val="24"/>
              </w:rPr>
              <w:t xml:space="preserve">SGSC </w:t>
            </w:r>
            <w:r w:rsidR="00F47608" w:rsidRPr="002F390C">
              <w:rPr>
                <w:rFonts w:eastAsia="Cambria" w:cs="Cambria"/>
                <w:i/>
                <w:color w:val="000000" w:themeColor="text1"/>
                <w:sz w:val="24"/>
                <w:szCs w:val="24"/>
              </w:rPr>
              <w:t>Goal 2</w:t>
            </w:r>
          </w:p>
        </w:tc>
        <w:tc>
          <w:tcPr>
            <w:tcW w:w="10885" w:type="dxa"/>
          </w:tcPr>
          <w:p w:rsidR="00423D65" w:rsidRPr="001300BF" w:rsidRDefault="00423D65" w:rsidP="00423D65">
            <w:pPr>
              <w:ind w:left="610" w:hanging="460"/>
              <w:rPr>
                <w:sz w:val="24"/>
                <w:szCs w:val="24"/>
              </w:rPr>
            </w:pPr>
            <w:r w:rsidRPr="001300BF">
              <w:rPr>
                <w:sz w:val="24"/>
                <w:szCs w:val="24"/>
              </w:rPr>
              <w:t>4a.  Evaluate existing and emerging safety and security technologies for continual improvement.</w:t>
            </w:r>
          </w:p>
        </w:tc>
      </w:tr>
      <w:tr w:rsidR="00423D65" w:rsidRPr="001300BF" w:rsidTr="0067594D">
        <w:trPr>
          <w:trHeight w:val="634"/>
        </w:trPr>
        <w:tc>
          <w:tcPr>
            <w:tcW w:w="3780" w:type="dxa"/>
            <w:vMerge/>
          </w:tcPr>
          <w:p w:rsidR="00423D65" w:rsidRPr="002F519E" w:rsidRDefault="00423D65" w:rsidP="00423D65">
            <w:pPr>
              <w:tabs>
                <w:tab w:val="left" w:pos="820"/>
              </w:tabs>
              <w:spacing w:before="239"/>
              <w:ind w:right="225"/>
              <w:rPr>
                <w:rFonts w:eastAsia="Cambria" w:cs="Cambria"/>
                <w:color w:val="000000" w:themeColor="text1"/>
                <w:sz w:val="28"/>
                <w:szCs w:val="28"/>
              </w:rPr>
            </w:pPr>
          </w:p>
        </w:tc>
        <w:tc>
          <w:tcPr>
            <w:tcW w:w="10885" w:type="dxa"/>
          </w:tcPr>
          <w:p w:rsidR="00423D65" w:rsidRPr="001300BF" w:rsidRDefault="00423D65" w:rsidP="00423D65">
            <w:pPr>
              <w:ind w:left="610" w:hanging="460"/>
              <w:rPr>
                <w:sz w:val="24"/>
                <w:szCs w:val="24"/>
              </w:rPr>
            </w:pPr>
            <w:r w:rsidRPr="001300BF">
              <w:rPr>
                <w:sz w:val="24"/>
                <w:szCs w:val="24"/>
              </w:rPr>
              <w:t>4b.  Procure and implement the Power DMS System.</w:t>
            </w:r>
          </w:p>
        </w:tc>
      </w:tr>
      <w:tr w:rsidR="00423D65" w:rsidRPr="001300BF" w:rsidTr="0067594D">
        <w:trPr>
          <w:trHeight w:val="634"/>
        </w:trPr>
        <w:tc>
          <w:tcPr>
            <w:tcW w:w="3780" w:type="dxa"/>
            <w:vMerge/>
          </w:tcPr>
          <w:p w:rsidR="00423D65" w:rsidRPr="002F519E" w:rsidRDefault="00423D65" w:rsidP="00423D65">
            <w:pPr>
              <w:tabs>
                <w:tab w:val="left" w:pos="820"/>
              </w:tabs>
              <w:spacing w:before="239"/>
              <w:ind w:right="225"/>
              <w:rPr>
                <w:rFonts w:eastAsia="Cambria" w:cs="Cambria"/>
                <w:color w:val="000000" w:themeColor="text1"/>
                <w:sz w:val="28"/>
                <w:szCs w:val="28"/>
              </w:rPr>
            </w:pPr>
          </w:p>
        </w:tc>
        <w:tc>
          <w:tcPr>
            <w:tcW w:w="10885" w:type="dxa"/>
          </w:tcPr>
          <w:p w:rsidR="00423D65" w:rsidRPr="001300BF" w:rsidRDefault="00423D65" w:rsidP="00465F0B">
            <w:pPr>
              <w:ind w:left="610" w:hanging="460"/>
              <w:rPr>
                <w:sz w:val="24"/>
                <w:szCs w:val="24"/>
              </w:rPr>
            </w:pPr>
            <w:r w:rsidRPr="001300BF">
              <w:rPr>
                <w:sz w:val="24"/>
                <w:szCs w:val="24"/>
              </w:rPr>
              <w:t>4c</w:t>
            </w:r>
            <w:r w:rsidR="00766CDF" w:rsidRPr="001300BF">
              <w:rPr>
                <w:sz w:val="24"/>
                <w:szCs w:val="24"/>
              </w:rPr>
              <w:t>. Install</w:t>
            </w:r>
            <w:r w:rsidRPr="001300BF">
              <w:rPr>
                <w:sz w:val="24"/>
                <w:szCs w:val="24"/>
              </w:rPr>
              <w:t xml:space="preserve"> panic alarms in strategic locations.</w:t>
            </w:r>
          </w:p>
        </w:tc>
      </w:tr>
      <w:tr w:rsidR="00423D65" w:rsidRPr="001300BF" w:rsidTr="0067594D">
        <w:trPr>
          <w:trHeight w:val="634"/>
        </w:trPr>
        <w:tc>
          <w:tcPr>
            <w:tcW w:w="3780" w:type="dxa"/>
            <w:vMerge w:val="restart"/>
          </w:tcPr>
          <w:p w:rsidR="0063662B" w:rsidRPr="002F519E" w:rsidRDefault="00423D65" w:rsidP="00423D65">
            <w:pPr>
              <w:tabs>
                <w:tab w:val="left" w:pos="820"/>
              </w:tabs>
              <w:spacing w:before="239"/>
              <w:ind w:right="225"/>
              <w:rPr>
                <w:rFonts w:eastAsia="Cambria" w:cs="Cambria"/>
                <w:b/>
                <w:color w:val="000000" w:themeColor="text1"/>
                <w:sz w:val="28"/>
                <w:szCs w:val="28"/>
              </w:rPr>
            </w:pPr>
            <w:r w:rsidRPr="002F519E">
              <w:rPr>
                <w:rFonts w:eastAsia="Cambria" w:cs="Cambria"/>
                <w:b/>
                <w:color w:val="000000" w:themeColor="text1"/>
                <w:sz w:val="28"/>
                <w:szCs w:val="28"/>
              </w:rPr>
              <w:t>GOAL 5</w:t>
            </w:r>
          </w:p>
          <w:p w:rsidR="0067594D" w:rsidRDefault="00423D65" w:rsidP="0067594D">
            <w:pPr>
              <w:tabs>
                <w:tab w:val="left" w:pos="820"/>
              </w:tabs>
              <w:spacing w:before="120"/>
              <w:ind w:right="225"/>
              <w:rPr>
                <w:rFonts w:eastAsia="Cambria" w:cs="Cambria"/>
                <w:color w:val="000000" w:themeColor="text1"/>
                <w:sz w:val="28"/>
                <w:szCs w:val="28"/>
              </w:rPr>
            </w:pPr>
            <w:r w:rsidRPr="002F519E">
              <w:rPr>
                <w:rFonts w:eastAsia="Cambria" w:cs="Cambria"/>
                <w:color w:val="000000" w:themeColor="text1"/>
                <w:sz w:val="28"/>
                <w:szCs w:val="28"/>
              </w:rPr>
              <w:t>Minimize deficiencies in human, facilities, and equipment resources.</w:t>
            </w:r>
          </w:p>
          <w:p w:rsidR="00423D65" w:rsidRPr="002F519E" w:rsidRDefault="0067594D" w:rsidP="0067594D">
            <w:pPr>
              <w:tabs>
                <w:tab w:val="left" w:pos="820"/>
              </w:tabs>
              <w:spacing w:before="120"/>
              <w:ind w:right="225"/>
              <w:rPr>
                <w:rFonts w:eastAsia="Cambria" w:cs="Cambria"/>
                <w:color w:val="000000" w:themeColor="text1"/>
                <w:sz w:val="28"/>
                <w:szCs w:val="28"/>
              </w:rPr>
            </w:pPr>
            <w:r>
              <w:rPr>
                <w:rFonts w:eastAsia="Cambria" w:cs="Cambria"/>
                <w:color w:val="000000" w:themeColor="text1"/>
                <w:sz w:val="28"/>
                <w:szCs w:val="28"/>
              </w:rPr>
              <w:t xml:space="preserve">                                  </w:t>
            </w:r>
            <w:r>
              <w:rPr>
                <w:rFonts w:eastAsia="Cambria" w:cs="Cambria"/>
                <w:i/>
                <w:color w:val="000000" w:themeColor="text1"/>
                <w:sz w:val="24"/>
                <w:szCs w:val="24"/>
              </w:rPr>
              <w:t xml:space="preserve">SGSC </w:t>
            </w:r>
            <w:r w:rsidR="00F47608" w:rsidRPr="002F390C">
              <w:rPr>
                <w:rFonts w:eastAsia="Cambria" w:cs="Cambria"/>
                <w:i/>
                <w:color w:val="000000" w:themeColor="text1"/>
                <w:sz w:val="24"/>
                <w:szCs w:val="24"/>
              </w:rPr>
              <w:t>Goal 2</w:t>
            </w:r>
          </w:p>
        </w:tc>
        <w:tc>
          <w:tcPr>
            <w:tcW w:w="10885" w:type="dxa"/>
          </w:tcPr>
          <w:p w:rsidR="00423D65" w:rsidRPr="001300BF" w:rsidRDefault="0067594D" w:rsidP="00423D65">
            <w:pPr>
              <w:ind w:left="610" w:hanging="460"/>
              <w:rPr>
                <w:sz w:val="24"/>
                <w:szCs w:val="24"/>
              </w:rPr>
            </w:pPr>
            <w:r>
              <w:rPr>
                <w:sz w:val="24"/>
                <w:szCs w:val="24"/>
              </w:rPr>
              <w:t xml:space="preserve">5a. </w:t>
            </w:r>
            <w:r w:rsidR="00423D65" w:rsidRPr="001300BF">
              <w:rPr>
                <w:sz w:val="24"/>
                <w:szCs w:val="24"/>
              </w:rPr>
              <w:t xml:space="preserve">Ensure that the department is staffed sufficiently to satisfy the USG Board of Regents recommendation. </w:t>
            </w:r>
          </w:p>
        </w:tc>
      </w:tr>
      <w:tr w:rsidR="00423D65" w:rsidRPr="001300BF" w:rsidTr="0067594D">
        <w:trPr>
          <w:trHeight w:val="634"/>
        </w:trPr>
        <w:tc>
          <w:tcPr>
            <w:tcW w:w="3780" w:type="dxa"/>
            <w:vMerge/>
          </w:tcPr>
          <w:p w:rsidR="00423D65" w:rsidRPr="002F519E" w:rsidRDefault="00423D65">
            <w:pPr>
              <w:rPr>
                <w:color w:val="000000" w:themeColor="text1"/>
                <w:sz w:val="24"/>
                <w:szCs w:val="24"/>
              </w:rPr>
            </w:pPr>
          </w:p>
        </w:tc>
        <w:tc>
          <w:tcPr>
            <w:tcW w:w="10885" w:type="dxa"/>
          </w:tcPr>
          <w:p w:rsidR="00423D65" w:rsidRPr="001300BF" w:rsidRDefault="00423D65" w:rsidP="00423D65">
            <w:pPr>
              <w:ind w:left="610" w:hanging="460"/>
              <w:rPr>
                <w:sz w:val="24"/>
                <w:szCs w:val="24"/>
              </w:rPr>
            </w:pPr>
            <w:r w:rsidRPr="001300BF">
              <w:rPr>
                <w:sz w:val="24"/>
                <w:szCs w:val="24"/>
              </w:rPr>
              <w:t>5b.  Plan for a centralized and accessible Police Department/EOC facility.</w:t>
            </w:r>
          </w:p>
        </w:tc>
      </w:tr>
      <w:tr w:rsidR="00423D65" w:rsidRPr="001300BF" w:rsidTr="0067594D">
        <w:trPr>
          <w:trHeight w:val="634"/>
        </w:trPr>
        <w:tc>
          <w:tcPr>
            <w:tcW w:w="3780" w:type="dxa"/>
            <w:vMerge/>
          </w:tcPr>
          <w:p w:rsidR="00423D65" w:rsidRPr="002F519E" w:rsidRDefault="00423D65">
            <w:pPr>
              <w:rPr>
                <w:color w:val="000000" w:themeColor="text1"/>
                <w:sz w:val="24"/>
                <w:szCs w:val="24"/>
              </w:rPr>
            </w:pPr>
          </w:p>
        </w:tc>
        <w:tc>
          <w:tcPr>
            <w:tcW w:w="10885" w:type="dxa"/>
          </w:tcPr>
          <w:p w:rsidR="00423D65" w:rsidRPr="001300BF" w:rsidRDefault="00423D65" w:rsidP="00C57C8E">
            <w:pPr>
              <w:ind w:left="610" w:hanging="460"/>
              <w:rPr>
                <w:sz w:val="24"/>
                <w:szCs w:val="24"/>
              </w:rPr>
            </w:pPr>
            <w:r w:rsidRPr="001300BF">
              <w:rPr>
                <w:sz w:val="24"/>
                <w:szCs w:val="24"/>
              </w:rPr>
              <w:t>5c</w:t>
            </w:r>
            <w:r w:rsidR="0067594D" w:rsidRPr="001300BF">
              <w:rPr>
                <w:sz w:val="24"/>
                <w:szCs w:val="24"/>
              </w:rPr>
              <w:t>. Create</w:t>
            </w:r>
            <w:r w:rsidRPr="001300BF">
              <w:rPr>
                <w:sz w:val="24"/>
                <w:szCs w:val="24"/>
              </w:rPr>
              <w:t xml:space="preserve"> an equipment replacement plan to add or replace equipment as needed or upon expiration.</w:t>
            </w:r>
          </w:p>
        </w:tc>
      </w:tr>
    </w:tbl>
    <w:p w:rsidR="007007DB" w:rsidRPr="0063662B" w:rsidRDefault="007007DB" w:rsidP="0067594D">
      <w:pPr>
        <w:tabs>
          <w:tab w:val="left" w:pos="3669"/>
        </w:tabs>
      </w:pPr>
    </w:p>
    <w:sectPr w:rsidR="007007DB" w:rsidRPr="0063662B" w:rsidSect="00926913">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F504F"/>
    <w:multiLevelType w:val="hybridMultilevel"/>
    <w:tmpl w:val="979250C6"/>
    <w:lvl w:ilvl="0" w:tplc="94667744">
      <w:start w:val="1"/>
      <w:numFmt w:val="decimal"/>
      <w:lvlText w:val="%1."/>
      <w:lvlJc w:val="left"/>
      <w:pPr>
        <w:ind w:left="720" w:hanging="360"/>
      </w:pPr>
      <w:rPr>
        <w:rFonts w:eastAsia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6104F"/>
    <w:multiLevelType w:val="hybridMultilevel"/>
    <w:tmpl w:val="6FEC446E"/>
    <w:lvl w:ilvl="0" w:tplc="94667744">
      <w:start w:val="1"/>
      <w:numFmt w:val="decimal"/>
      <w:lvlText w:val="%1."/>
      <w:lvlJc w:val="left"/>
      <w:pPr>
        <w:ind w:left="720" w:hanging="360"/>
      </w:pPr>
      <w:rPr>
        <w:rFonts w:eastAsia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139A1"/>
    <w:multiLevelType w:val="hybridMultilevel"/>
    <w:tmpl w:val="65AE5E7A"/>
    <w:lvl w:ilvl="0" w:tplc="54303F1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91B23"/>
    <w:multiLevelType w:val="hybridMultilevel"/>
    <w:tmpl w:val="979250C6"/>
    <w:lvl w:ilvl="0" w:tplc="94667744">
      <w:start w:val="1"/>
      <w:numFmt w:val="decimal"/>
      <w:lvlText w:val="%1."/>
      <w:lvlJc w:val="left"/>
      <w:pPr>
        <w:ind w:left="720" w:hanging="360"/>
      </w:pPr>
      <w:rPr>
        <w:rFonts w:eastAsia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B07ED"/>
    <w:multiLevelType w:val="hybridMultilevel"/>
    <w:tmpl w:val="E8049F64"/>
    <w:lvl w:ilvl="0" w:tplc="94667744">
      <w:start w:val="1"/>
      <w:numFmt w:val="decimal"/>
      <w:lvlText w:val="%1."/>
      <w:lvlJc w:val="left"/>
      <w:pPr>
        <w:ind w:left="720" w:hanging="360"/>
      </w:pPr>
      <w:rPr>
        <w:rFonts w:eastAsia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DB"/>
    <w:rsid w:val="000677FE"/>
    <w:rsid w:val="000775AB"/>
    <w:rsid w:val="00091D7C"/>
    <w:rsid w:val="000D2184"/>
    <w:rsid w:val="000F52D8"/>
    <w:rsid w:val="001300BF"/>
    <w:rsid w:val="002575BF"/>
    <w:rsid w:val="002F390C"/>
    <w:rsid w:val="002F519E"/>
    <w:rsid w:val="00310DE2"/>
    <w:rsid w:val="00423D65"/>
    <w:rsid w:val="00465F0B"/>
    <w:rsid w:val="0063662B"/>
    <w:rsid w:val="0067594D"/>
    <w:rsid w:val="006E6524"/>
    <w:rsid w:val="007007DB"/>
    <w:rsid w:val="00717AED"/>
    <w:rsid w:val="00766CDF"/>
    <w:rsid w:val="007D005D"/>
    <w:rsid w:val="0083348A"/>
    <w:rsid w:val="00926913"/>
    <w:rsid w:val="00985989"/>
    <w:rsid w:val="009D0C0E"/>
    <w:rsid w:val="00A41347"/>
    <w:rsid w:val="00B52C55"/>
    <w:rsid w:val="00C57C8E"/>
    <w:rsid w:val="00CF7225"/>
    <w:rsid w:val="00D3215A"/>
    <w:rsid w:val="00E574BA"/>
    <w:rsid w:val="00EE02A0"/>
    <w:rsid w:val="00F47608"/>
    <w:rsid w:val="00FD174E"/>
    <w:rsid w:val="00FD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69FA"/>
  <w15:chartTrackingRefBased/>
  <w15:docId w15:val="{0E8DBDA9-16C8-4ED5-AE20-B5B2D1D7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7DB"/>
    <w:pPr>
      <w:ind w:left="720"/>
      <w:contextualSpacing/>
    </w:pPr>
  </w:style>
  <w:style w:type="table" w:styleId="TableGrid">
    <w:name w:val="Table Grid"/>
    <w:basedOn w:val="TableNormal"/>
    <w:uiPriority w:val="39"/>
    <w:rsid w:val="0070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423D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5Dark-Accent1">
    <w:name w:val="Grid Table 5 Dark Accent 1"/>
    <w:basedOn w:val="TableNormal"/>
    <w:uiPriority w:val="50"/>
    <w:rsid w:val="00091D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Light">
    <w:name w:val="Grid Table Light"/>
    <w:basedOn w:val="TableNormal"/>
    <w:uiPriority w:val="40"/>
    <w:rsid w:val="002F51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67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Georgia State College</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McCulloch</dc:creator>
  <cp:keywords/>
  <dc:description/>
  <cp:lastModifiedBy>Sonja McCulloch</cp:lastModifiedBy>
  <cp:revision>13</cp:revision>
  <cp:lastPrinted>2018-11-02T15:17:00Z</cp:lastPrinted>
  <dcterms:created xsi:type="dcterms:W3CDTF">2018-10-24T17:35:00Z</dcterms:created>
  <dcterms:modified xsi:type="dcterms:W3CDTF">2019-01-25T16:05:00Z</dcterms:modified>
</cp:coreProperties>
</file>